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30</w:t>
      </w:r>
    </w:p>
    <w:p>
      <w:r>
        <w:t>Bundesgericht (BGE), 1984-01-17, DE</w:t>
      </w:r>
    </w:p>
    <w:p>
      <w:r>
        <w:rPr>
          <w:b/>
        </w:rPr>
        <w:t xml:space="preserve">Quelle: </w:t>
      </w:r>
      <w:r>
        <w:t>https://mcp.opencaselaw.ch/entscheid/bge_110 IV 30</w:t>
      </w:r>
    </w:p>
    <w:p>
      <w:r>
        <w:t>FR: ATF 110 IV 30</w:t>
      </w:r>
    </w:p>
    <w:p>
      <w:r>
        <w:t>IT: DTF 110 IV 30</w:t>
      </w:r>
    </w:p>
    <w:p>
      <w:pPr>
        <w:pStyle w:val="Heading2"/>
      </w:pPr>
      <w:r>
        <w:t>Regeste</w:t>
      </w:r>
    </w:p>
    <w:p>
      <w:r>
        <w:t>Regeste Art. 148 Abs. 2 StGB. Gewerbsmässiger Betrug. Wer zum eigenen Verbrauch bei jeder sich bietenden Gelegenheit betrügerisch Konsumgüter erwirbt, handelt gewerbsmässig.</w:t>
      </w:r>
    </w:p>
    <w:p>
      <w:pPr>
        <w:pStyle w:val="Heading2"/>
      </w:pPr>
      <w:r>
        <w:t>Erwägungen</w:t>
      </w:r>
    </w:p>
    <w:p>
      <w:r>
        <w:rPr>
          <w:b/>
        </w:rPr>
        <w:t>E. 1</w:t>
      </w:r>
    </w:p>
    <w:p>
      <w:r>
        <w:t>Der Beschwerdeführer anerkennt, die ihm angelasteten Betrüge wiederholt und bei jeder sich an den Weinmessen bietenden Gelegenheit begangen zu haben. Er wendet sich jedoch gegen die Annahme gewerbsmässiger Tatbegehung, weil er sich keine BGE 110 IV 30 S. 31 Geldeinnahmen habe verschaffen wollen und auch keine verschafft habe, "zumal ich keine einzige der mir gelieferten und nicht bezahlten Flaschen Wein veräussert habe, um mir mit Geld andere Dinge zu kaufen". Seine Tätigkeit sei deshalb nicht - wie diejenige eines Gewerbetreibenden - auf irgendwie geartete Einnahmen gerichtet gewesen. Er sei auf Entgegennahme von Konsumgütern und deren Verbrauch, nicht aber auf ein in Geld bestehendes Erwerbseinkommen ausgegangen. Die schon im Grundtatbestand des Art. 148 StGB liegende Bereicherung habe in allen Fällen darin gelegen, dass er sozusagen gratis Wein habe trinken können, nicht aber darin, dass er mit einem regelmässigen Einkommen Miete und Lebenshaltungskosten habe bestreiten können. Die "Einsparung" von Zahlungen könne nicht Geldeinnahmen im Sinne des Erwerbseinkommens gleichgesetzt werden.</w:t>
      </w:r>
    </w:p>
    <w:p>
      <w:r>
        <w:rPr>
          <w:b/>
        </w:rPr>
        <w:t>E. 2</w:t>
      </w:r>
    </w:p>
    <w:p>
      <w:r>
        <w:t>Nach ständiger Rechtsprechung des Bundesgerichts handelt gewerbsmässig, wer in der Absicht, zu einem Erwerbseinkommen zu gelangen, und mit der Bereitschaft, gegenüber unbestimmt vielen oder bei jeder sich bietenden Gelegenheit zu handeln, die Tat wiederholt verübt ( BGE 107 IV 82 E. 3a, 174 E. 2, BGE 99 IV 88 E. 7 mit Verweisungen). Das in dieser Begriffsumschreibung enthaltene Element der auf Erlangung eines "Erwerbseinkommens" gerichteten Absicht ist nicht dahin zu verstehen, dass gewerbsmässig nur handeln würde, wer unmittelbar Geld ertrügt oder Warenbetrüge in der Absicht begeht, die Beute zu Geld zu machen. Ein Erwerbseinkommen im Sinne jener Praxis kann vielmehr im Erwirken irgendwelcher Vermögensvorteile bestehen. Dabei ist ohne Belang, ob der Täter sich diese unmittelbar zur Fristung seines Lebens, zur Bezahlung von Vergnügen, zum Zweck gewinnbringender Anlage oder zur Hortung verschafft; auch die erlaubte Tätigkeit eines Gewerbetreibenden hängt nach allgemeinem Sprachgebrauch nicht vom Beweggrund ab, mit welchem jener handelt ( BGE 71 IV 86 ). Da überdies Gewerbsmässigkeit nicht eine lang anhaltende Tatbegehung voraussetzt ( BGE 78 IV 155 ) noch der Täter auf einen hauptsächlichen oder regelmässigen Erwerb ausgehen muss ( BGE 99 IV 88 E. 7), besteht freilich insoweit zwischen jener Erwerbsabsicht und der Bereicherungsabsicht des Grundtatbestands kein wesentlicher Unterschied (s. BGE 71 IV 86 i.f.). Dieser wird jedoch durch die Verbindung jener Absicht mit der dem Gewerbebetrieb eigenen Bereitschaft des Täters, gegenüber unbestimmt vielen oder bei jeder sich bietenden Gelegenheit zu handeln, geschaffen. Hierin liegt BGE 110 IV 30 S. 32 denn auch der eigentliche Grund der verschärften Strafe ( BGE 86 IV 11 mit Verweisungen).</w:t>
      </w:r>
    </w:p>
    <w:p>
      <w:r>
        <w:rPr>
          <w:b/>
        </w:rPr>
        <w:t>E. 3</w:t>
      </w:r>
    </w:p>
    <w:p>
      <w:r>
        <w:t>Im vorliegenden Fall hat die Vorinstanz den Begriff der Gewerbsmässigkeit keineswegs verkannt, wenn sie annahm, mit dem betrügerischen Erwerb von Waren habe sich der zur Ausnützung jeder passenden Gelegenheit bereite Beschwerdeführer die Auslagen in Höhe des Ankaufspreises jener Güter erspart und damit im Sinne der vorgenannten Definition ein Erwerbseinkommen verschafft. Vielmehr entspricht ihr Entscheid den erwähnten Grundsätzen und verletzt deshalb Bundesrecht nicht.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